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b w:val="1"/>
          <w:sz w:val="26"/>
          <w:szCs w:val="26"/>
        </w:rPr>
      </w:pPr>
      <w:r w:rsidDel="00000000" w:rsidR="00000000" w:rsidRPr="00000000">
        <w:rPr>
          <w:b w:val="1"/>
          <w:sz w:val="26"/>
          <w:szCs w:val="26"/>
          <w:rtl w:val="0"/>
        </w:rPr>
        <w:t xml:space="preserve">Notices for ARC Extension &amp;  Fines for overstaying</w:t>
      </w:r>
    </w:p>
    <w:p w:rsidR="00000000" w:rsidDel="00000000" w:rsidP="00000000" w:rsidRDefault="00000000" w:rsidRPr="00000000" w14:paraId="00000002">
      <w:pPr>
        <w:spacing w:after="240" w:before="240" w:lineRule="auto"/>
        <w:rPr/>
      </w:pPr>
      <w:r w:rsidDel="00000000" w:rsidR="00000000" w:rsidRPr="00000000">
        <w:rPr>
          <w:rtl w:val="0"/>
        </w:rPr>
        <w:t xml:space="preserve">a) International students have to apply for ARC extension one month prior to the expiry date.</w:t>
      </w:r>
    </w:p>
    <w:p w:rsidR="00000000" w:rsidDel="00000000" w:rsidP="00000000" w:rsidRDefault="00000000" w:rsidRPr="00000000" w14:paraId="00000003">
      <w:pPr>
        <w:spacing w:after="240" w:before="240" w:lineRule="auto"/>
        <w:rPr/>
      </w:pPr>
      <w:r w:rsidDel="00000000" w:rsidR="00000000" w:rsidRPr="00000000">
        <w:rPr>
          <w:rtl w:val="0"/>
        </w:rPr>
        <w:t xml:space="preserve">e.g. Your ARC (Alien Resident Certificate) could usually be extended online one month before its expiration date.</w:t>
      </w:r>
      <w:r w:rsidDel="00000000" w:rsidR="00000000" w:rsidRPr="00000000">
        <w:rPr>
          <w:highlight w:val="yellow"/>
          <w:rtl w:val="0"/>
        </w:rPr>
        <w:t xml:space="preserve"> If your expiration date falls within the summer vacation</w:t>
      </w:r>
      <w:r w:rsidDel="00000000" w:rsidR="00000000" w:rsidRPr="00000000">
        <w:rPr>
          <w:rtl w:val="0"/>
        </w:rPr>
        <w:t xml:space="preserve">, you would need to extend your ARC early. You could apply to the immigration office 10 working days before your departure, </w:t>
      </w:r>
      <w:r w:rsidDel="00000000" w:rsidR="00000000" w:rsidRPr="00000000">
        <w:rPr>
          <w:highlight w:val="yellow"/>
          <w:rtl w:val="0"/>
        </w:rPr>
        <w:t xml:space="preserve">provide necessary documents, and attach round-trip airline ticket proof as a basis for review</w:t>
      </w:r>
      <w:r w:rsidDel="00000000" w:rsidR="00000000" w:rsidRPr="00000000">
        <w:rPr>
          <w:rtl w:val="0"/>
        </w:rPr>
        <w:t xml:space="preserve">. You must obtain the extended ARC before returning to your home country.</w:t>
      </w:r>
    </w:p>
    <w:p w:rsidR="00000000" w:rsidDel="00000000" w:rsidP="00000000" w:rsidRDefault="00000000" w:rsidRPr="00000000" w14:paraId="00000004">
      <w:pPr>
        <w:spacing w:after="240" w:before="240" w:lineRule="auto"/>
        <w:rPr/>
      </w:pPr>
      <w:r w:rsidDel="00000000" w:rsidR="00000000" w:rsidRPr="00000000">
        <w:rPr>
          <w:rtl w:val="0"/>
        </w:rPr>
        <w:t xml:space="preserve">b) If the ARC expires over more than 30 days, you may be expelled from Taiwan. e.g. If your ARC expires on 31</w:t>
      </w:r>
      <w:r w:rsidDel="00000000" w:rsidR="00000000" w:rsidRPr="00000000">
        <w:rPr>
          <w:vertAlign w:val="superscript"/>
          <w:rtl w:val="0"/>
        </w:rPr>
        <w:t xml:space="preserve">st</w:t>
      </w:r>
      <w:r w:rsidDel="00000000" w:rsidR="00000000" w:rsidRPr="00000000">
        <w:rPr>
          <w:rtl w:val="0"/>
        </w:rPr>
        <w:t xml:space="preserve"> July and you should renew it before 29</w:t>
      </w:r>
      <w:r w:rsidDel="00000000" w:rsidR="00000000" w:rsidRPr="00000000">
        <w:rPr>
          <w:vertAlign w:val="superscript"/>
          <w:rtl w:val="0"/>
        </w:rPr>
        <w:t xml:space="preserve">th</w:t>
      </w:r>
      <w:r w:rsidDel="00000000" w:rsidR="00000000" w:rsidRPr="00000000">
        <w:rPr>
          <w:rtl w:val="0"/>
        </w:rPr>
        <w:t xml:space="preserve"> August in order to stay in Taiwan. (Please note that you need to submit the renew application in National Immigration Agency (NIA)’s Service Centers, online submission is not applicable)</w:t>
      </w:r>
    </w:p>
    <w:p w:rsidR="00000000" w:rsidDel="00000000" w:rsidP="00000000" w:rsidRDefault="00000000" w:rsidRPr="00000000" w14:paraId="00000005">
      <w:pPr>
        <w:spacing w:after="240" w:before="240" w:lineRule="auto"/>
        <w:rPr/>
      </w:pPr>
      <w:r w:rsidDel="00000000" w:rsidR="00000000" w:rsidRPr="00000000">
        <w:rPr>
          <w:rtl w:val="0"/>
        </w:rPr>
        <w:t xml:space="preserve">c) Graduates seeking employment in Taiwan are required to provide a graduation certificate to extend their period of stay. The maximum extension is six months, starting from the month of graduation. If students have postponed their graduation, they are required to provide documentation to keep or extend their ARC. Students will be granted a maximum extension of one year, according to their academic situation.</w:t>
      </w:r>
    </w:p>
    <w:p w:rsidR="00000000" w:rsidDel="00000000" w:rsidP="00000000" w:rsidRDefault="00000000" w:rsidRPr="00000000" w14:paraId="00000006">
      <w:pPr>
        <w:spacing w:after="240" w:before="240" w:lineRule="auto"/>
        <w:rPr/>
      </w:pPr>
      <w:r w:rsidDel="00000000" w:rsidR="00000000" w:rsidRPr="00000000">
        <w:rPr>
          <w:rtl w:val="0"/>
        </w:rPr>
        <w:t xml:space="preserve">If you want to work in Taiwan after graduation, please follow the following path to know more about the relevant laws, regulations and application methods for foreign students working in Taiwan:</w:t>
      </w:r>
    </w:p>
    <w:p w:rsidR="00000000" w:rsidDel="00000000" w:rsidP="00000000" w:rsidRDefault="00000000" w:rsidRPr="00000000" w14:paraId="00000007">
      <w:pPr>
        <w:spacing w:after="240" w:before="240" w:lineRule="auto"/>
        <w:rPr/>
      </w:pPr>
      <w:r w:rsidDel="00000000" w:rsidR="00000000" w:rsidRPr="00000000">
        <w:rPr>
          <w:rFonts w:ascii="Arial Unicode MS" w:cs="Arial Unicode MS" w:eastAsia="Arial Unicode MS" w:hAnsi="Arial Unicode MS"/>
          <w:rtl w:val="0"/>
        </w:rPr>
        <w:t xml:space="preserve">→Web of Workforce Development Agency Ministry of Labor (https://www.wda.gov.tw/en/)</w:t>
      </w:r>
    </w:p>
    <w:p w:rsidR="00000000" w:rsidDel="00000000" w:rsidP="00000000" w:rsidRDefault="00000000" w:rsidRPr="00000000" w14:paraId="00000008">
      <w:pPr>
        <w:spacing w:after="240" w:before="240" w:lineRule="auto"/>
        <w:rPr/>
      </w:pPr>
      <w:r w:rsidDel="00000000" w:rsidR="00000000" w:rsidRPr="00000000">
        <w:rPr>
          <w:rFonts w:ascii="Arial Unicode MS" w:cs="Arial Unicode MS" w:eastAsia="Arial Unicode MS" w:hAnsi="Arial Unicode MS"/>
          <w:rtl w:val="0"/>
        </w:rPr>
        <w:t xml:space="preserve">→Information</w:t>
      </w:r>
    </w:p>
    <w:p w:rsidR="00000000" w:rsidDel="00000000" w:rsidP="00000000" w:rsidRDefault="00000000" w:rsidRPr="00000000" w14:paraId="00000009">
      <w:pPr>
        <w:spacing w:after="240" w:before="240" w:lineRule="auto"/>
        <w:rPr/>
      </w:pPr>
      <w:r w:rsidDel="00000000" w:rsidR="00000000" w:rsidRPr="00000000">
        <w:rPr>
          <w:rFonts w:ascii="Arial Unicode MS" w:cs="Arial Unicode MS" w:eastAsia="Arial Unicode MS" w:hAnsi="Arial Unicode MS"/>
          <w:rtl w:val="0"/>
        </w:rPr>
        <w:t xml:space="preserve">→For Foreign talents to Work in Taiwan</w:t>
      </w:r>
    </w:p>
    <w:p w:rsidR="00000000" w:rsidDel="00000000" w:rsidP="00000000" w:rsidRDefault="00000000" w:rsidRPr="00000000" w14:paraId="0000000A">
      <w:pPr>
        <w:spacing w:after="240" w:before="240" w:lineRule="auto"/>
        <w:rPr/>
      </w:pPr>
      <w:r w:rsidDel="00000000" w:rsidR="00000000" w:rsidRPr="00000000">
        <w:rPr>
          <w:rFonts w:ascii="Arial Unicode MS" w:cs="Arial Unicode MS" w:eastAsia="Arial Unicode MS" w:hAnsi="Arial Unicode MS"/>
          <w:rtl w:val="0"/>
        </w:rPr>
        <w:t xml:space="preserve">→For Alien Residents to Work in Taiwan</w:t>
      </w:r>
    </w:p>
    <w:p w:rsidR="00000000" w:rsidDel="00000000" w:rsidP="00000000" w:rsidRDefault="00000000" w:rsidRPr="00000000" w14:paraId="0000000B">
      <w:pPr>
        <w:spacing w:after="240" w:before="240" w:lineRule="auto"/>
        <w:rPr/>
      </w:pPr>
      <w:r w:rsidDel="00000000" w:rsidR="00000000" w:rsidRPr="00000000">
        <w:rPr>
          <w:rFonts w:ascii="Arial Unicode MS" w:cs="Arial Unicode MS" w:eastAsia="Arial Unicode MS" w:hAnsi="Arial Unicode MS"/>
          <w:rtl w:val="0"/>
        </w:rPr>
        <w:t xml:space="preserve">→click “EZ work Taiwan for foreigner”</w:t>
      </w:r>
    </w:p>
    <w:p w:rsidR="00000000" w:rsidDel="00000000" w:rsidP="00000000" w:rsidRDefault="00000000" w:rsidRPr="00000000" w14:paraId="0000000C">
      <w:pPr>
        <w:spacing w:after="240" w:before="240" w:lineRule="auto"/>
        <w:rPr/>
      </w:pPr>
      <w:r w:rsidDel="00000000" w:rsidR="00000000" w:rsidRPr="00000000">
        <w:rPr>
          <w:rFonts w:ascii="Arial Unicode MS" w:cs="Arial Unicode MS" w:eastAsia="Arial Unicode MS" w:hAnsi="Arial Unicode MS"/>
          <w:rtl w:val="0"/>
        </w:rPr>
        <w:t xml:space="preserve">→choose EN and Overseas Chinese or Foreign Student</w:t>
      </w:r>
    </w:p>
    <w:p w:rsidR="00000000" w:rsidDel="00000000" w:rsidP="00000000" w:rsidRDefault="00000000" w:rsidRPr="00000000" w14:paraId="0000000D">
      <w:pPr>
        <w:spacing w:after="240" w:before="240" w:lineRule="auto"/>
        <w:rPr/>
      </w:pPr>
      <w:r w:rsidDel="00000000" w:rsidR="00000000" w:rsidRPr="00000000">
        <w:rPr>
          <w:rtl w:val="0"/>
        </w:rPr>
        <w:t xml:space="preserve">Graduated in the R.O.C to work in Taiwan</w:t>
      </w:r>
    </w:p>
    <w:p w:rsidR="00000000" w:rsidDel="00000000" w:rsidP="00000000" w:rsidRDefault="00000000" w:rsidRPr="00000000" w14:paraId="0000000E">
      <w:pPr>
        <w:spacing w:after="240" w:before="240" w:lineRule="auto"/>
        <w:rPr/>
      </w:pPr>
      <w:r w:rsidDel="00000000" w:rsidR="00000000" w:rsidRPr="00000000">
        <w:rPr>
          <w:rtl w:val="0"/>
        </w:rPr>
      </w:r>
    </w:p>
    <w:p w:rsidR="00000000" w:rsidDel="00000000" w:rsidP="00000000" w:rsidRDefault="00000000" w:rsidRPr="00000000" w14:paraId="0000000F">
      <w:pPr>
        <w:spacing w:after="240" w:before="240" w:lineRule="auto"/>
        <w:ind w:left="960" w:hanging="480"/>
        <w:rPr/>
      </w:pPr>
      <w:r w:rsidDel="00000000" w:rsidR="00000000" w:rsidRPr="00000000">
        <w:rPr>
          <w:rFonts w:ascii="PMingLiu" w:cs="PMingLiu" w:eastAsia="PMingLiu" w:hAnsi="PMingLiu"/>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Title: Qualifications and Criteria Standards for foreigners undertaking the jobs specified under Article 46.1.1 to 46.1.6 of the Employment Service Act</w:t>
      </w:r>
    </w:p>
    <w:p w:rsidR="00000000" w:rsidDel="00000000" w:rsidP="00000000" w:rsidRDefault="00000000" w:rsidRPr="00000000" w14:paraId="00000010">
      <w:pPr>
        <w:spacing w:after="240" w:before="240" w:lineRule="auto"/>
        <w:rPr>
          <w:color w:val="0563c1"/>
          <w:u w:val="single"/>
        </w:rPr>
      </w:pPr>
      <w:hyperlink r:id="rId6">
        <w:r w:rsidDel="00000000" w:rsidR="00000000" w:rsidRPr="00000000">
          <w:rPr>
            <w:color w:val="0563c1"/>
            <w:u w:val="single"/>
            <w:rtl w:val="0"/>
          </w:rPr>
          <w:t xml:space="preserve">https://law.moj.gov.tw/ENG/LawClass/LawAll.aspx?pcode=N0090031</w:t>
        </w:r>
      </w:hyperlink>
      <w:r w:rsidDel="00000000" w:rsidR="00000000" w:rsidRPr="00000000">
        <w:rPr>
          <w:rtl w:val="0"/>
        </w:rPr>
      </w:r>
    </w:p>
    <w:p w:rsidR="00000000" w:rsidDel="00000000" w:rsidP="00000000" w:rsidRDefault="00000000" w:rsidRPr="00000000" w14:paraId="00000011">
      <w:pPr>
        <w:spacing w:after="240" w:before="240" w:lineRule="auto"/>
        <w:ind w:left="960" w:hanging="480"/>
        <w:rPr/>
      </w:pPr>
      <w:r w:rsidDel="00000000" w:rsidR="00000000" w:rsidRPr="00000000">
        <w:rPr>
          <w:rFonts w:ascii="PMingLiu" w:cs="PMingLiu" w:eastAsia="PMingLiu" w:hAnsi="PMingLiu"/>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Reference Table:</w:t>
      </w:r>
    </w:p>
    <w:p w:rsidR="00000000" w:rsidDel="00000000" w:rsidP="00000000" w:rsidRDefault="00000000" w:rsidRPr="00000000" w14:paraId="00000012">
      <w:pPr>
        <w:spacing w:after="240" w:before="240" w:lineRule="auto"/>
        <w:rPr>
          <w:color w:val="0563c1"/>
          <w:u w:val="single"/>
        </w:rPr>
      </w:pPr>
      <w:hyperlink r:id="rId7">
        <w:r w:rsidDel="00000000" w:rsidR="00000000" w:rsidRPr="00000000">
          <w:rPr>
            <w:color w:val="0563c1"/>
            <w:u w:val="single"/>
            <w:rtl w:val="0"/>
          </w:rPr>
          <w:t xml:space="preserve">https://law.moj.gov.tw/ENG/LawClass/LawGetFile.ashx?FileId=0000006167&amp;lan=E</w:t>
        </w:r>
      </w:hyperlink>
      <w:r w:rsidDel="00000000" w:rsidR="00000000" w:rsidRPr="00000000">
        <w:rPr>
          <w:rtl w:val="0"/>
        </w:rPr>
      </w:r>
    </w:p>
    <w:p w:rsidR="00000000" w:rsidDel="00000000" w:rsidP="00000000" w:rsidRDefault="00000000" w:rsidRPr="00000000" w14:paraId="00000013">
      <w:pPr>
        <w:spacing w:after="240" w:before="240" w:lineRule="auto"/>
        <w:rPr/>
      </w:pPr>
      <w:r w:rsidDel="00000000" w:rsidR="00000000" w:rsidRPr="00000000">
        <w:rPr>
          <w:rtl w:val="0"/>
        </w:rPr>
        <w:t xml:space="preserve"> </w:t>
      </w:r>
    </w:p>
    <w:p w:rsidR="00000000" w:rsidDel="00000000" w:rsidP="00000000" w:rsidRDefault="00000000" w:rsidRPr="00000000" w14:paraId="00000014">
      <w:pPr>
        <w:spacing w:after="240" w:before="240" w:lineRule="auto"/>
        <w:rPr/>
      </w:pPr>
      <w:r w:rsidDel="00000000" w:rsidR="00000000" w:rsidRPr="00000000">
        <w:rPr>
          <w:rtl w:val="0"/>
        </w:rPr>
      </w:r>
    </w:p>
    <w:p w:rsidR="00000000" w:rsidDel="00000000" w:rsidP="00000000" w:rsidRDefault="00000000" w:rsidRPr="00000000" w14:paraId="00000015">
      <w:pPr>
        <w:spacing w:after="240" w:before="240" w:lineRule="auto"/>
        <w:rPr>
          <w:b w:val="1"/>
        </w:rPr>
      </w:pPr>
      <w:r w:rsidDel="00000000" w:rsidR="00000000" w:rsidRPr="00000000">
        <w:rPr>
          <w:b w:val="1"/>
          <w:rtl w:val="0"/>
        </w:rPr>
        <w:t xml:space="preserve">d)  Fines for overstaying</w:t>
      </w:r>
    </w:p>
    <w:p w:rsidR="00000000" w:rsidDel="00000000" w:rsidP="00000000" w:rsidRDefault="00000000" w:rsidRPr="00000000" w14:paraId="00000016">
      <w:pPr>
        <w:spacing w:after="240" w:before="240" w:lineRule="auto"/>
        <w:rPr/>
      </w:pPr>
      <w:r w:rsidDel="00000000" w:rsidR="00000000" w:rsidRPr="00000000">
        <w:rPr>
          <w:rtl w:val="0"/>
        </w:rPr>
        <w:t xml:space="preserve">Overstay:</w:t>
      </w:r>
    </w:p>
    <w:p w:rsidR="00000000" w:rsidDel="00000000" w:rsidP="00000000" w:rsidRDefault="00000000" w:rsidRPr="00000000" w14:paraId="00000017">
      <w:pPr>
        <w:spacing w:after="240" w:before="240" w:lineRule="auto"/>
        <w:rPr/>
      </w:pPr>
      <w:r w:rsidDel="00000000" w:rsidR="00000000" w:rsidRPr="00000000">
        <w:rPr>
          <w:rtl w:val="0"/>
        </w:rPr>
        <w:t xml:space="preserve">(a) In the occurrence that the 29th day of overstay is on a Sunday, public holiday, or a rest day, applicants are responsible for a fine of 29 days and must reapply for the ARC on the following working day.</w:t>
      </w:r>
    </w:p>
    <w:p w:rsidR="00000000" w:rsidDel="00000000" w:rsidP="00000000" w:rsidRDefault="00000000" w:rsidRPr="00000000" w14:paraId="00000018">
      <w:pPr>
        <w:spacing w:after="240" w:before="240" w:lineRule="auto"/>
        <w:rPr/>
      </w:pPr>
      <w:r w:rsidDel="00000000" w:rsidR="00000000" w:rsidRPr="00000000">
        <w:rPr>
          <w:rtl w:val="0"/>
        </w:rPr>
        <w:t xml:space="preserve">(b) In the occurrence that the 29th day of overstay is on a Saturday, applicants must reapply for the ARC in the morning on the following working day.</w:t>
      </w:r>
    </w:p>
    <w:p w:rsidR="00000000" w:rsidDel="00000000" w:rsidP="00000000" w:rsidRDefault="00000000" w:rsidRPr="00000000" w14:paraId="00000019">
      <w:pPr>
        <w:spacing w:after="240" w:before="240" w:lineRule="auto"/>
        <w:rPr/>
      </w:pPr>
      <w:r w:rsidDel="00000000" w:rsidR="00000000" w:rsidRPr="00000000">
        <w:rPr>
          <w:rtl w:val="0"/>
        </w:rPr>
        <w:t xml:space="preserve">(c) ARC holders who overstay for 30 days are required to leave Taiwan within 7 days and reapply for a resident visa as well as pay for the fine.</w:t>
      </w:r>
    </w:p>
    <w:p w:rsidR="00000000" w:rsidDel="00000000" w:rsidP="00000000" w:rsidRDefault="00000000" w:rsidRPr="00000000" w14:paraId="0000001A">
      <w:pPr>
        <w:spacing w:after="240" w:before="240" w:lineRule="auto"/>
        <w:rPr>
          <w:rFonts w:ascii="Times New Roman" w:cs="Times New Roman" w:eastAsia="Times New Roman" w:hAnsi="Times New Roman"/>
        </w:rPr>
      </w:pPr>
      <w:r w:rsidDel="00000000" w:rsidR="00000000" w:rsidRPr="00000000">
        <w:rPr>
          <w:rtl w:val="0"/>
        </w:rPr>
        <w:t xml:space="preserve">Fines</w:t>
      </w:r>
      <w:r w:rsidDel="00000000" w:rsidR="00000000" w:rsidRPr="00000000">
        <w:rPr>
          <w:rFonts w:ascii="Gungsuh" w:cs="Gungsuh" w:eastAsia="Gungsuh" w:hAnsi="Gungsuh"/>
          <w:rtl w:val="0"/>
        </w:rPr>
        <w:t xml:space="preserve">：</w:t>
      </w:r>
    </w:p>
    <w:p w:rsidR="00000000" w:rsidDel="00000000" w:rsidP="00000000" w:rsidRDefault="00000000" w:rsidRPr="00000000" w14:paraId="0000001B">
      <w:pPr>
        <w:spacing w:after="240" w:before="240" w:lineRule="auto"/>
        <w:rPr/>
      </w:pPr>
      <w:r w:rsidDel="00000000" w:rsidR="00000000" w:rsidRPr="00000000">
        <w:rPr>
          <w:rtl w:val="0"/>
        </w:rPr>
        <w:t xml:space="preserve">(a) Foreigners who have overstayed their stay for 1–10 days are subject to a fine of NT$2,000.</w:t>
      </w:r>
    </w:p>
    <w:p w:rsidR="00000000" w:rsidDel="00000000" w:rsidP="00000000" w:rsidRDefault="00000000" w:rsidRPr="00000000" w14:paraId="0000001C">
      <w:pPr>
        <w:spacing w:after="240" w:before="240" w:lineRule="auto"/>
        <w:rPr/>
      </w:pPr>
      <w:r w:rsidDel="00000000" w:rsidR="00000000" w:rsidRPr="00000000">
        <w:rPr>
          <w:rtl w:val="0"/>
        </w:rPr>
        <w:t xml:space="preserve">(b) Foreigners who have overstayed their stay for 11–30 days are subject to a fine of NT$4,000.</w:t>
      </w:r>
    </w:p>
    <w:p w:rsidR="00000000" w:rsidDel="00000000" w:rsidP="00000000" w:rsidRDefault="00000000" w:rsidRPr="00000000" w14:paraId="0000001D">
      <w:pPr>
        <w:spacing w:after="240" w:before="240" w:lineRule="auto"/>
        <w:rPr/>
      </w:pPr>
      <w:r w:rsidDel="00000000" w:rsidR="00000000" w:rsidRPr="00000000">
        <w:rPr>
          <w:rtl w:val="0"/>
        </w:rPr>
        <w:t xml:space="preserve">(c) Foreigners who have overstayed their stay for 31–60 days are subject to a fine of NT$6,000.</w:t>
      </w:r>
    </w:p>
    <w:p w:rsidR="00000000" w:rsidDel="00000000" w:rsidP="00000000" w:rsidRDefault="00000000" w:rsidRPr="00000000" w14:paraId="0000001E">
      <w:pPr>
        <w:spacing w:after="240" w:before="240" w:lineRule="auto"/>
        <w:rPr/>
      </w:pPr>
      <w:r w:rsidDel="00000000" w:rsidR="00000000" w:rsidRPr="00000000">
        <w:rPr>
          <w:rtl w:val="0"/>
        </w:rPr>
        <w:t xml:space="preserve">(d) Foreigners who have overstayed their stay for 61–90 days are subject to a fine of NT$8,000.</w:t>
      </w:r>
    </w:p>
    <w:p w:rsidR="00000000" w:rsidDel="00000000" w:rsidP="00000000" w:rsidRDefault="00000000" w:rsidRPr="00000000" w14:paraId="0000001F">
      <w:pPr>
        <w:spacing w:after="240" w:before="240" w:lineRule="auto"/>
        <w:rPr/>
      </w:pPr>
      <w:r w:rsidDel="00000000" w:rsidR="00000000" w:rsidRPr="00000000">
        <w:rPr>
          <w:rtl w:val="0"/>
        </w:rPr>
        <w:t xml:space="preserve">(e) Foreigners who have overstayed their stay for &gt;90 days are subject to a fine of NT$10,000.</w:t>
      </w:r>
    </w:p>
    <w:p w:rsidR="00000000" w:rsidDel="00000000" w:rsidP="00000000" w:rsidRDefault="00000000" w:rsidRPr="00000000" w14:paraId="00000020">
      <w:pPr>
        <w:spacing w:after="240" w:before="240" w:lineRule="auto"/>
        <w:rPr/>
      </w:pPr>
      <w:r w:rsidDel="00000000" w:rsidR="00000000" w:rsidRPr="00000000">
        <w:rPr>
          <w:rtl w:val="0"/>
        </w:rPr>
        <w:t xml:space="preserve"> </w:t>
      </w:r>
    </w:p>
    <w:p w:rsidR="00000000" w:rsidDel="00000000" w:rsidP="00000000" w:rsidRDefault="00000000" w:rsidRPr="00000000" w14:paraId="00000021">
      <w:pPr>
        <w:spacing w:after="240" w:before="240" w:lineRule="auto"/>
        <w:ind w:left="960" w:hanging="48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For more details, please contact the National Immigration Agency</w:t>
      </w:r>
    </w:p>
    <w:p w:rsidR="00000000" w:rsidDel="00000000" w:rsidP="00000000" w:rsidRDefault="00000000" w:rsidRPr="00000000" w14:paraId="00000022">
      <w:pPr>
        <w:spacing w:after="240" w:before="240" w:lineRule="auto"/>
        <w:rPr/>
      </w:pPr>
      <w:r w:rsidDel="00000000" w:rsidR="00000000" w:rsidRPr="00000000">
        <w:rPr>
          <w:rtl w:val="0"/>
        </w:rPr>
        <w:t xml:space="preserve">Website: www.immigration.gov.tw/mp.asp?mp=2</w:t>
      </w:r>
    </w:p>
    <w:p w:rsidR="00000000" w:rsidDel="00000000" w:rsidP="00000000" w:rsidRDefault="00000000" w:rsidRPr="00000000" w14:paraId="00000023">
      <w:pPr>
        <w:spacing w:after="240" w:before="240" w:lineRule="auto"/>
        <w:rPr/>
      </w:pPr>
      <w:r w:rsidDel="00000000" w:rsidR="00000000" w:rsidRPr="00000000">
        <w:rPr>
          <w:rtl w:val="0"/>
        </w:rPr>
        <w:t xml:space="preserve">Address: No 15, Guangzhou St, Zhongzheng District, Taipei City Business Hours:Taipei Office: Monday to Friday 8am– 5pm</w:t>
      </w:r>
    </w:p>
    <w:p w:rsidR="00000000" w:rsidDel="00000000" w:rsidP="00000000" w:rsidRDefault="00000000" w:rsidRPr="00000000" w14:paraId="00000024">
      <w:pPr>
        <w:spacing w:after="240" w:before="240" w:lineRule="auto"/>
        <w:rPr/>
      </w:pPr>
      <w:r w:rsidDel="00000000" w:rsidR="00000000" w:rsidRPr="00000000">
        <w:rPr>
          <w:rtl w:val="0"/>
        </w:rPr>
        <w:t xml:space="preserve">Tel: 02 2388 9393</w:t>
      </w:r>
    </w:p>
    <w:p w:rsidR="00000000" w:rsidDel="00000000" w:rsidP="00000000" w:rsidRDefault="00000000" w:rsidRPr="00000000" w14:paraId="00000025">
      <w:pPr>
        <w:spacing w:after="240" w:before="240" w:lineRule="auto"/>
        <w:rPr/>
      </w:pPr>
      <w:r w:rsidDel="00000000" w:rsidR="00000000" w:rsidRPr="00000000">
        <w:rPr>
          <w:rtl w:val="0"/>
        </w:rPr>
        <w:t xml:space="preserve">Foreigners in Taiwan 24-hour toll free service: 0800 024 111 (English, Japanese, and Mandarin services available)</w:t>
      </w:r>
    </w:p>
    <w:p w:rsidR="00000000" w:rsidDel="00000000" w:rsidP="00000000" w:rsidRDefault="00000000" w:rsidRPr="00000000" w14:paraId="00000026">
      <w:pPr>
        <w:spacing w:after="240" w:before="240" w:lineRule="auto"/>
        <w:rPr>
          <w:color w:val="0563c1"/>
        </w:rPr>
      </w:pPr>
      <w:r w:rsidDel="00000000" w:rsidR="00000000" w:rsidRPr="00000000">
        <w:rPr>
          <w:rtl w:val="0"/>
        </w:rPr>
        <w:t xml:space="preserve">Email: </w:t>
      </w:r>
      <w:r w:rsidDel="00000000" w:rsidR="00000000" w:rsidRPr="00000000">
        <w:rPr>
          <w:color w:val="0563c1"/>
          <w:rtl w:val="0"/>
        </w:rPr>
        <w:t xml:space="preserve">boi@immigration.gov.tw</w:t>
      </w:r>
    </w:p>
    <w:p w:rsidR="00000000" w:rsidDel="00000000" w:rsidP="00000000" w:rsidRDefault="00000000" w:rsidRPr="00000000" w14:paraId="0000002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PMingLiu"/>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law.moj.gov.tw/ENG/LawClass/LawAll.aspx?pcode=N0090031" TargetMode="External"/><Relationship Id="rId7" Type="http://schemas.openxmlformats.org/officeDocument/2006/relationships/hyperlink" Target="https://law.moj.gov.tw/ENG/LawClass/LawGetFile.ashx?FileId=0000006167&amp;la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